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607" w:rsidRDefault="00585871">
      <w:pPr>
        <w:rPr>
          <w:rFonts w:cstheme="minorHAnsi"/>
          <w:caps/>
        </w:rPr>
      </w:pPr>
      <w:r w:rsidRPr="00416023">
        <w:rPr>
          <w:rFonts w:cstheme="minorHAnsi"/>
        </w:rPr>
        <w:t xml:space="preserve">Allegato 1/c – </w:t>
      </w:r>
      <w:r w:rsidRPr="00585871">
        <w:rPr>
          <w:rFonts w:cstheme="minorHAnsi"/>
          <w:caps/>
        </w:rPr>
        <w:t>Piano dei costi previsti in capo al soggetto proponente</w:t>
      </w:r>
    </w:p>
    <w:p w:rsidR="00585871" w:rsidRDefault="00585871">
      <w:pPr>
        <w:rPr>
          <w:rFonts w:cstheme="minorHAnsi"/>
          <w:caps/>
        </w:rPr>
      </w:pPr>
    </w:p>
    <w:tbl>
      <w:tblPr>
        <w:tblStyle w:val="Grigliatabella"/>
        <w:tblW w:w="0" w:type="auto"/>
        <w:tblLook w:val="04A0" w:firstRow="1" w:lastRow="0" w:firstColumn="1" w:lastColumn="0" w:noHBand="0" w:noVBand="1"/>
      </w:tblPr>
      <w:tblGrid>
        <w:gridCol w:w="2547"/>
        <w:gridCol w:w="2835"/>
        <w:gridCol w:w="2551"/>
        <w:gridCol w:w="1695"/>
      </w:tblGrid>
      <w:tr w:rsidR="00322E9F" w:rsidTr="00FC0FC4">
        <w:tc>
          <w:tcPr>
            <w:tcW w:w="2547" w:type="dxa"/>
          </w:tcPr>
          <w:p w:rsidR="00322E9F" w:rsidRDefault="00322E9F">
            <w:r>
              <w:t>ATTIVITA’</w:t>
            </w:r>
          </w:p>
        </w:tc>
        <w:tc>
          <w:tcPr>
            <w:tcW w:w="2835" w:type="dxa"/>
          </w:tcPr>
          <w:p w:rsidR="00322E9F" w:rsidRDefault="00322E9F" w:rsidP="00322E9F">
            <w:pPr>
              <w:spacing w:before="120" w:after="120"/>
              <w:jc w:val="both"/>
              <w:rPr>
                <w:rFonts w:cstheme="minorHAnsi"/>
              </w:rPr>
            </w:pPr>
            <w:r w:rsidRPr="00322E9F">
              <w:rPr>
                <w:rFonts w:cstheme="minorHAnsi"/>
                <w:caps/>
              </w:rPr>
              <w:t>Costi del personale impiegato</w:t>
            </w:r>
          </w:p>
          <w:p w:rsidR="00322E9F" w:rsidRDefault="00322E9F" w:rsidP="00322E9F">
            <w:pPr>
              <w:spacing w:before="120" w:after="120"/>
              <w:jc w:val="both"/>
              <w:rPr>
                <w:rFonts w:cstheme="minorHAnsi"/>
              </w:rPr>
            </w:pPr>
            <w:r w:rsidRPr="005B0BFA">
              <w:rPr>
                <w:rFonts w:cstheme="minorHAnsi"/>
              </w:rPr>
              <w:t>Dettaglio</w:t>
            </w:r>
            <w:r>
              <w:rPr>
                <w:rFonts w:cstheme="minorHAnsi"/>
              </w:rPr>
              <w:t xml:space="preserve"> per ore impiegate </w:t>
            </w:r>
            <w:r w:rsidRPr="005B0BFA">
              <w:rPr>
                <w:rFonts w:cstheme="minorHAnsi"/>
              </w:rPr>
              <w:t>e cost</w:t>
            </w:r>
            <w:r>
              <w:rPr>
                <w:rFonts w:cstheme="minorHAnsi"/>
              </w:rPr>
              <w:t>o orario</w:t>
            </w:r>
            <w:r w:rsidRPr="005B0BFA">
              <w:rPr>
                <w:rFonts w:cstheme="minorHAnsi"/>
              </w:rPr>
              <w:t xml:space="preserve"> per qualifica professionale</w:t>
            </w:r>
            <w:r>
              <w:rPr>
                <w:rFonts w:cstheme="minorHAnsi"/>
              </w:rPr>
              <w:t xml:space="preserve"> con indicazione dell’iva dli legge.</w:t>
            </w:r>
          </w:p>
          <w:p w:rsidR="00322E9F" w:rsidRPr="00322E9F" w:rsidRDefault="00322E9F" w:rsidP="00322E9F">
            <w:pPr>
              <w:spacing w:before="120" w:after="120"/>
              <w:jc w:val="both"/>
              <w:rPr>
                <w:rFonts w:cstheme="minorHAnsi"/>
              </w:rPr>
            </w:pPr>
          </w:p>
          <w:p w:rsidR="00322E9F" w:rsidRDefault="00322E9F"/>
        </w:tc>
        <w:tc>
          <w:tcPr>
            <w:tcW w:w="2551" w:type="dxa"/>
          </w:tcPr>
          <w:p w:rsidR="00322E9F" w:rsidRDefault="00322E9F">
            <w:r>
              <w:t>COSTI DI GESTIONE</w:t>
            </w:r>
          </w:p>
          <w:p w:rsidR="00322E9F" w:rsidRDefault="00322E9F" w:rsidP="00322E9F">
            <w:pPr>
              <w:spacing w:before="120" w:after="120"/>
              <w:jc w:val="both"/>
              <w:rPr>
                <w:rFonts w:cstheme="minorHAnsi"/>
              </w:rPr>
            </w:pPr>
            <w:r>
              <w:rPr>
                <w:rFonts w:cstheme="minorHAnsi"/>
              </w:rPr>
              <w:t>Indicare le voci di costi di gestione non ricompresi nelle risorse messe a disposizione da parte dell’ente proponente.</w:t>
            </w:r>
          </w:p>
          <w:p w:rsidR="00322E9F" w:rsidRDefault="00322E9F"/>
        </w:tc>
        <w:tc>
          <w:tcPr>
            <w:tcW w:w="1695" w:type="dxa"/>
          </w:tcPr>
          <w:p w:rsidR="00322E9F" w:rsidRDefault="00322E9F">
            <w:r>
              <w:t>RISORSE MESSE A DISPOSIZIONE DAL SOGGETTO PROPONENTE</w:t>
            </w:r>
          </w:p>
          <w:p w:rsidR="00322E9F" w:rsidRDefault="00322E9F"/>
        </w:tc>
      </w:tr>
      <w:tr w:rsidR="001E21DE" w:rsidTr="00FC0FC4">
        <w:tc>
          <w:tcPr>
            <w:tcW w:w="2547" w:type="dxa"/>
            <w:tcBorders>
              <w:top w:val="single" w:sz="4" w:space="0" w:color="auto"/>
              <w:left w:val="single" w:sz="4" w:space="0" w:color="auto"/>
              <w:bottom w:val="single" w:sz="4" w:space="0" w:color="auto"/>
              <w:right w:val="single" w:sz="4" w:space="0" w:color="auto"/>
            </w:tcBorders>
            <w:hideMark/>
          </w:tcPr>
          <w:p w:rsidR="001E21DE" w:rsidRDefault="001E21DE">
            <w:pPr>
              <w:spacing w:before="120" w:after="120" w:line="360" w:lineRule="auto"/>
              <w:jc w:val="both"/>
              <w:rPr>
                <w:rFonts w:cstheme="minorHAnsi"/>
                <w:highlight w:val="yellow"/>
              </w:rPr>
            </w:pPr>
            <w:r>
              <w:rPr>
                <w:rFonts w:cstheme="minorHAnsi"/>
              </w:rPr>
              <w:t>Valorizzazione delle connessioni tra i diversi attori del territorio. Incremento delle capacità del sistema territoriale di intercettare e rispondere ai bisogni del territorio. Implementazione e miglioramento dell’informazione tra i soggetti del territorio relativamente ai casi presi in carico e alle opportunità presenti.</w:t>
            </w:r>
          </w:p>
        </w:tc>
        <w:tc>
          <w:tcPr>
            <w:tcW w:w="2835" w:type="dxa"/>
            <w:tcBorders>
              <w:top w:val="single" w:sz="4" w:space="0" w:color="auto"/>
              <w:left w:val="single" w:sz="4" w:space="0" w:color="auto"/>
              <w:bottom w:val="single" w:sz="4" w:space="0" w:color="auto"/>
              <w:right w:val="single" w:sz="4" w:space="0" w:color="auto"/>
            </w:tcBorders>
          </w:tcPr>
          <w:p w:rsidR="001E21DE" w:rsidRDefault="001E21DE">
            <w:pPr>
              <w:rPr>
                <w:caps/>
              </w:rPr>
            </w:pPr>
            <w:bookmarkStart w:id="0" w:name="_GoBack"/>
            <w:bookmarkEnd w:id="0"/>
          </w:p>
        </w:tc>
        <w:tc>
          <w:tcPr>
            <w:tcW w:w="2551"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169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r>
      <w:tr w:rsidR="001E21DE" w:rsidTr="00FC0FC4">
        <w:tc>
          <w:tcPr>
            <w:tcW w:w="2547" w:type="dxa"/>
            <w:tcBorders>
              <w:top w:val="single" w:sz="4" w:space="0" w:color="auto"/>
              <w:left w:val="single" w:sz="4" w:space="0" w:color="auto"/>
              <w:bottom w:val="single" w:sz="4" w:space="0" w:color="auto"/>
              <w:right w:val="single" w:sz="4" w:space="0" w:color="auto"/>
            </w:tcBorders>
            <w:hideMark/>
          </w:tcPr>
          <w:p w:rsidR="001E21DE" w:rsidRDefault="001E21DE">
            <w:pPr>
              <w:spacing w:before="120" w:after="120" w:line="360" w:lineRule="auto"/>
              <w:jc w:val="both"/>
              <w:rPr>
                <w:caps/>
              </w:rPr>
            </w:pPr>
            <w:r>
              <w:rPr>
                <w:rFonts w:cstheme="minorHAnsi"/>
              </w:rPr>
              <w:t xml:space="preserve">Individuazione di strumenti gestionali facilitanti lo scambio tra gli utenti e la comunità di beni e servizi, sul modello delle banche del tempo, delle esperienze del baratto o della moneta complementare. </w:t>
            </w:r>
          </w:p>
        </w:tc>
        <w:tc>
          <w:tcPr>
            <w:tcW w:w="283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2551"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169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r>
      <w:tr w:rsidR="001E21DE" w:rsidTr="00FC0FC4">
        <w:tc>
          <w:tcPr>
            <w:tcW w:w="2547" w:type="dxa"/>
            <w:tcBorders>
              <w:top w:val="single" w:sz="4" w:space="0" w:color="auto"/>
              <w:left w:val="single" w:sz="4" w:space="0" w:color="auto"/>
              <w:bottom w:val="single" w:sz="4" w:space="0" w:color="auto"/>
              <w:right w:val="single" w:sz="4" w:space="0" w:color="auto"/>
            </w:tcBorders>
            <w:hideMark/>
          </w:tcPr>
          <w:p w:rsidR="001E21DE" w:rsidRDefault="001E21DE">
            <w:pPr>
              <w:spacing w:before="120" w:after="120" w:line="360" w:lineRule="auto"/>
              <w:jc w:val="both"/>
              <w:rPr>
                <w:rFonts w:cstheme="minorHAnsi"/>
              </w:rPr>
            </w:pPr>
            <w:r>
              <w:rPr>
                <w:rFonts w:cstheme="minorHAnsi"/>
              </w:rPr>
              <w:lastRenderedPageBreak/>
              <w:t>Potenziamento delle risorse destinate all’inserimento lavorativo dei soggetti svantaggiati presso enti e aziende del territorio, anche tramite azioni di fundraising.</w:t>
            </w:r>
          </w:p>
        </w:tc>
        <w:tc>
          <w:tcPr>
            <w:tcW w:w="283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2551"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169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r>
      <w:tr w:rsidR="001E21DE" w:rsidTr="00FC0FC4">
        <w:tc>
          <w:tcPr>
            <w:tcW w:w="2547" w:type="dxa"/>
            <w:tcBorders>
              <w:top w:val="single" w:sz="4" w:space="0" w:color="auto"/>
              <w:left w:val="single" w:sz="4" w:space="0" w:color="auto"/>
              <w:bottom w:val="single" w:sz="4" w:space="0" w:color="auto"/>
              <w:right w:val="single" w:sz="4" w:space="0" w:color="auto"/>
            </w:tcBorders>
          </w:tcPr>
          <w:p w:rsidR="001E21DE" w:rsidRDefault="001E21DE">
            <w:pPr>
              <w:spacing w:before="120" w:after="120" w:line="360" w:lineRule="auto"/>
              <w:jc w:val="both"/>
              <w:rPr>
                <w:rFonts w:cstheme="minorHAnsi"/>
              </w:rPr>
            </w:pPr>
            <w:r>
              <w:rPr>
                <w:rFonts w:cstheme="minorHAnsi"/>
              </w:rPr>
              <w:t>Creazione di nuove opportunità lavorative adeguate ai soggetti destinatari della misura REI, anche tramite l’attivazione sul territorio di servizi di incontro tra domanda ed offerta di lavoro, in particolare nel settore dei servizi resi alle famiglie.</w:t>
            </w:r>
          </w:p>
          <w:p w:rsidR="001E21DE" w:rsidRDefault="001E21DE">
            <w:pP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2551" w:type="dxa"/>
            <w:tcBorders>
              <w:top w:val="single" w:sz="4" w:space="0" w:color="auto"/>
              <w:left w:val="single" w:sz="4" w:space="0" w:color="auto"/>
              <w:bottom w:val="single" w:sz="4" w:space="0" w:color="auto"/>
              <w:right w:val="single" w:sz="4" w:space="0" w:color="auto"/>
            </w:tcBorders>
          </w:tcPr>
          <w:p w:rsidR="001E21DE" w:rsidRDefault="001E21DE">
            <w:pPr>
              <w:rPr>
                <w:caps/>
              </w:rPr>
            </w:pPr>
          </w:p>
        </w:tc>
        <w:tc>
          <w:tcPr>
            <w:tcW w:w="1695" w:type="dxa"/>
            <w:tcBorders>
              <w:top w:val="single" w:sz="4" w:space="0" w:color="auto"/>
              <w:left w:val="single" w:sz="4" w:space="0" w:color="auto"/>
              <w:bottom w:val="single" w:sz="4" w:space="0" w:color="auto"/>
              <w:right w:val="single" w:sz="4" w:space="0" w:color="auto"/>
            </w:tcBorders>
          </w:tcPr>
          <w:p w:rsidR="001E21DE" w:rsidRDefault="001E21DE">
            <w:pPr>
              <w:rPr>
                <w:caps/>
              </w:rPr>
            </w:pPr>
          </w:p>
        </w:tc>
      </w:tr>
    </w:tbl>
    <w:p w:rsidR="001E21DE" w:rsidRDefault="001E21DE" w:rsidP="001E21DE">
      <w:pPr>
        <w:rPr>
          <w:caps/>
        </w:rPr>
      </w:pPr>
    </w:p>
    <w:p w:rsidR="00585871" w:rsidRDefault="00585871"/>
    <w:sectPr w:rsidR="005858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95345"/>
    <w:multiLevelType w:val="hybridMultilevel"/>
    <w:tmpl w:val="D5EEA7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71"/>
    <w:rsid w:val="001E21DE"/>
    <w:rsid w:val="00322E9F"/>
    <w:rsid w:val="00585871"/>
    <w:rsid w:val="005F4607"/>
    <w:rsid w:val="0077020E"/>
    <w:rsid w:val="007768FC"/>
    <w:rsid w:val="008E3B3E"/>
    <w:rsid w:val="00D9226E"/>
    <w:rsid w:val="00FC0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60771-18C7-49CE-B46E-43D5415A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8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2E9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206</Words>
  <Characters>1175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Elena Dionisio</cp:lastModifiedBy>
  <cp:revision>6</cp:revision>
  <dcterms:created xsi:type="dcterms:W3CDTF">2018-10-05T08:15:00Z</dcterms:created>
  <dcterms:modified xsi:type="dcterms:W3CDTF">2018-10-05T08:55:00Z</dcterms:modified>
</cp:coreProperties>
</file>